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B1FD2" w:rsidRDefault="004B4EC7">
      <w:pPr>
        <w:pStyle w:val="normal"/>
        <w:spacing w:line="240" w:lineRule="auto"/>
        <w:ind w:left="180" w:right="18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CURRICULUM VITAE</w:t>
      </w:r>
    </w:p>
    <w:p w:rsidR="004B1FD2" w:rsidRDefault="004B4EC7">
      <w:pPr>
        <w:pStyle w:val="1"/>
        <w:spacing w:after="225"/>
        <w:ind w:left="-5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3.45pt;margin-top:28.75pt;width:142.45pt;height:214pt;z-index:-251656192">
            <v:imagedata r:id="rId5" o:title="Myagkov_D"/>
          </v:shape>
        </w:pic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Personal details   </w:t>
      </w:r>
    </w:p>
    <w:p w:rsidR="004B1FD2" w:rsidRDefault="004B4EC7">
      <w:pPr>
        <w:pStyle w:val="1"/>
        <w:spacing w:after="225"/>
        <w:ind w:left="-5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Full name: Dmitry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Myagkov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</w:p>
    <w:p w:rsidR="004B1FD2" w:rsidRDefault="004B4EC7">
      <w:pPr>
        <w:pStyle w:val="normal"/>
        <w:ind w:right="45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Date of birth: 05 November 2002</w:t>
      </w:r>
    </w:p>
    <w:p w:rsidR="004B1FD2" w:rsidRDefault="004B4EC7">
      <w:pPr>
        <w:pStyle w:val="normal"/>
        <w:spacing w:line="259" w:lineRule="auto"/>
        <w:ind w:left="29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</w:t>
      </w:r>
    </w:p>
    <w:p w:rsidR="004B1FD2" w:rsidRDefault="004B4EC7">
      <w:pPr>
        <w:pStyle w:val="1"/>
        <w:ind w:left="-5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Affiliation   </w:t>
      </w:r>
    </w:p>
    <w:p w:rsidR="004B1FD2" w:rsidRDefault="004B4EC7">
      <w:pPr>
        <w:pStyle w:val="normal"/>
        <w:ind w:left="2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Institute of Physics, Chair of Optics and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Biophotonics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</w:p>
    <w:p w:rsidR="004B1FD2" w:rsidRDefault="004B4EC7">
      <w:pPr>
        <w:pStyle w:val="normal"/>
        <w:ind w:left="2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Saratov State University, 410012, </w:t>
      </w:r>
    </w:p>
    <w:p w:rsidR="004B1FD2" w:rsidRDefault="004B4EC7">
      <w:pPr>
        <w:pStyle w:val="normal"/>
        <w:ind w:left="2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Astrakhanskaya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str., 83, Saratov, Russia.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</w:p>
    <w:p w:rsidR="004B1FD2" w:rsidRDefault="004B4EC7">
      <w:pPr>
        <w:pStyle w:val="normal"/>
        <w:spacing w:line="259" w:lineRule="auto"/>
        <w:ind w:left="29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E-mail: dmyagk0v@yandex.ru</w:t>
      </w:r>
    </w:p>
    <w:p w:rsidR="004B1FD2" w:rsidRDefault="004B4EC7">
      <w:pPr>
        <w:pStyle w:val="1"/>
        <w:ind w:left="-5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Education   </w:t>
      </w:r>
    </w:p>
    <w:p w:rsidR="004B1FD2" w:rsidRDefault="004B4EC7">
      <w:pPr>
        <w:pStyle w:val="normal"/>
        <w:ind w:left="24" w:right="45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2020-2024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Bachelor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student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Chair of Optics and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Biophotonics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,</w:t>
      </w:r>
    </w:p>
    <w:p w:rsidR="004B1FD2" w:rsidRDefault="004B4EC7">
      <w:pPr>
        <w:pStyle w:val="normal"/>
        <w:ind w:left="1421" w:right="45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Institute of Physics, Saratov State University   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Specialization   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12.03.04 – biotechnical systems and technologies  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Research interests   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Digital-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analog electronics, engineering, device designing.</w:t>
      </w:r>
    </w:p>
    <w:p w:rsidR="004B1FD2" w:rsidRDefault="004B4EC7">
      <w:pPr>
        <w:pStyle w:val="normal"/>
        <w:spacing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Knowledge of programming languages: C, C++,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MatLab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4B1FD2" w:rsidRDefault="004B4EC7">
      <w:pPr>
        <w:pStyle w:val="normal"/>
        <w:spacing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Knowledge of data transfer interfaces: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SPI(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I2S), UART, I2C, CAN, USB.</w:t>
      </w:r>
    </w:p>
    <w:p w:rsidR="004B1FD2" w:rsidRDefault="004B4EC7">
      <w:pPr>
        <w:pStyle w:val="normal"/>
        <w:spacing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Knowledge of CAD-programs: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Solidworks</w:t>
      </w:r>
      <w:proofErr w:type="spellEnd"/>
    </w:p>
    <w:p w:rsidR="004B1FD2" w:rsidRDefault="004B4EC7">
      <w:pPr>
        <w:pStyle w:val="normal"/>
        <w:spacing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Hardware development.</w:t>
      </w:r>
      <w:proofErr w:type="gramEnd"/>
    </w:p>
    <w:p w:rsidR="004B1FD2" w:rsidRDefault="004B4EC7">
      <w:pPr>
        <w:pStyle w:val="normal"/>
        <w:spacing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MCU Programming (ARM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F8F9FA"/>
        </w:rPr>
        <w:t xml:space="preserve">Cortex-M,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AVR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).</w:t>
      </w:r>
      <w:proofErr w:type="gramEnd"/>
    </w:p>
    <w:p w:rsidR="004B1FD2" w:rsidRDefault="004B1FD2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Education activity  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Lectures of basic courses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 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General physics course (6 semesters)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Math analysis, analytical geometry, linear algebra, differential equations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Optics and theory of optical systems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Biophysics </w:t>
      </w:r>
    </w:p>
    <w:p w:rsidR="004B1FD2" w:rsidRDefault="004B1FD2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4B1FD2" w:rsidRDefault="004B1FD2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lastRenderedPageBreak/>
        <w:t>Special courses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 </w:t>
      </w:r>
    </w:p>
    <w:p w:rsidR="004B1FD2" w:rsidRDefault="004B4EC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Control of optical parameters of biological tissues</w:t>
      </w:r>
    </w:p>
    <w:p w:rsidR="004B1FD2" w:rsidRDefault="004B4EC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Biochemistry</w:t>
      </w:r>
    </w:p>
    <w:p w:rsidR="004B1FD2" w:rsidRDefault="004B4EC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Automation of the experiment</w:t>
      </w:r>
    </w:p>
    <w:p w:rsidR="004B1FD2" w:rsidRDefault="004B4EC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Digital signal and image processing</w:t>
      </w:r>
    </w:p>
    <w:p w:rsidR="004B1FD2" w:rsidRDefault="004B4EC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Spectroscopy and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colorimetry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of biological tissues in vivo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Employment</w:t>
      </w:r>
    </w:p>
    <w:p w:rsidR="004B1FD2" w:rsidRDefault="004B4EC7">
      <w:pPr>
        <w:pStyle w:val="normal"/>
        <w:spacing w:before="180" w:after="180" w:line="240" w:lineRule="auto"/>
        <w:ind w:right="18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2023 –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now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Laboratory assistant in the Laboratory of Smart Sleep of Scientific Medical Center at the Saratov State University. Job description: Lab environment devices development.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Device designing.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MCU programming.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Grants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Grant from Russian Science Foundation № 23-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75-30001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«Pilot technology for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photomodulation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of the immune system of the animal and human brain: innovative strategies in the treatment of Alzheimer's disease» (leading investigator)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Role in this project: EEG system development. Development of a system f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or automatic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photobimodulation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small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animals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brain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Grant from Russian Science Foundation № 21-75-10088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«Digital technologies for the study of the lymphatic system of the brain and its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meninges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: interactive 3D atlas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»  (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leading investigator)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Role in this pro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ject: development of lymphatic detection algorithms</w:t>
      </w:r>
    </w:p>
    <w:p w:rsidR="004B1FD2" w:rsidRDefault="004B4EC7">
      <w:pPr>
        <w:pStyle w:val="normal"/>
        <w:spacing w:before="180" w:after="180" w:line="240" w:lineRule="auto"/>
        <w:ind w:right="180"/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Awards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The winner of the grant from FASIE (Foundation for the Promotion of Small Business Development in the Scientific and Technical field)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“Development of an automated platform for complex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phenotyping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of laboratory mice and rats in a laboratory cell”</w:t>
      </w:r>
    </w:p>
    <w:p w:rsidR="004B1FD2" w:rsidRDefault="004B4EC7">
      <w:pPr>
        <w:pStyle w:val="normal"/>
        <w:spacing w:before="180" w:after="180" w:line="240" w:lineRule="auto"/>
        <w:ind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Main publications</w:t>
      </w:r>
    </w:p>
    <w:p w:rsidR="004B1FD2" w:rsidRDefault="004B4EC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1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Oxana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Semyachkina-Glushkovskaya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Konstantin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Sergeev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Nadezhda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Semenova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Andrey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Slepnev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Anatoly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Karavaev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Alexey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Hramkov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, Mikh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ail Prokhorov, Ekaterina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Borovkova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Inna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Blokhina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Ivan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Fedosov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Alexander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Shirokov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Alexander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Dubrovsky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Andrey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Terskov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Maria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Manzhaeva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Valeria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Krupnova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Alexander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Dmitrenko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Daria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Zlatogorskaya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Viktoria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Adushkina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Arina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Evsukova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Matvey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Tuzhilkin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, Inn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Elizarova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Egor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Ilyukov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Dmitry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Myagkov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Dmitry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Tuktarov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Jürgen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Kurths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Machine learning technology for EEG-forecast of the blood-brain barrier leakage and the activation of brain’s drainage system during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isoflurane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anesthesia. </w:t>
      </w:r>
      <w:proofErr w:type="spellStart"/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Biomolecules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 2023. 13, 1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605. https://doi.org/10.3390/biom13111605</w:t>
      </w:r>
    </w:p>
    <w:p w:rsidR="004B1FD2" w:rsidRDefault="004B4EC7">
      <w:pPr>
        <w:pStyle w:val="normal"/>
        <w:spacing w:line="240" w:lineRule="auto"/>
        <w:ind w:left="709" w:right="181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Impact factor – 5.5 (Q1)</w:t>
      </w:r>
    </w:p>
    <w:p w:rsidR="004B1FD2" w:rsidRDefault="004B4EC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1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Oxana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Semyachkina-Glushkovskaya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Konstantin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Sergeev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Nadezhda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Semenova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Andrey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Slepnev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Anatoly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Karavaev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Alexey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Hramkov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Mikhail Prokhorov, Ekaterina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Borovkova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 Inna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Blokhina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Ivan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Fedoso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Alexander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Shirokov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Alexander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Dubrovsky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Andrey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Terskov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Maria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Manzhaeva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Valeria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Krupnova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, Alexander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Dmitrenko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Daria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Zlatogorskaya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Viktoria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Adushkina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Arina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Evsukova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Matvey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Tuzhilkin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Inna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Elizarova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Egor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Ilyukov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, Dmitry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Myagkov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, Dmitry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Tukta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rov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Jürgen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Kurths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Technology of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photobiostimulation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of brain’s drainage system during sleep for improvement of learning and memory in male mice. 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Biomedical Optics Express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 2023 (accepted)</w:t>
      </w:r>
    </w:p>
    <w:p w:rsidR="004B1FD2" w:rsidRDefault="004B4EC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Impact factor – 3.56 (Q1)</w:t>
      </w:r>
    </w:p>
    <w:p w:rsidR="004B1FD2" w:rsidRDefault="004B4EC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Oxana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Semyachkina-Glushkovskaya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Ivan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Fedosov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Alexey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Zaikin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Vasily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Ageev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Egor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Ilyukov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Dmitry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Myagkov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Dmitry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Tuktarov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Inna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Blokhin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Alexander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Shirokov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Andrey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Terskov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Daria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Zlatogorskaya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Viktoria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Adushkina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Arina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Evsukova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Alexander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Dubrovsky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, Maria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Tsoy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Valeria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Telnova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Maria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Manzhaeva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Alexander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Dmitrenko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Valeria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Krupnova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Jürgen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Kurths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Different effects of phototherapy of rat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glioma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during sleep and wakefulness. 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highlight w:val="white"/>
        </w:rPr>
        <w:t>Biomedicine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. 2024 (under review)</w:t>
      </w:r>
    </w:p>
    <w:p w:rsidR="004B1FD2" w:rsidRDefault="004B4EC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Impact factor –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white"/>
        </w:rPr>
        <w:t>6.29 (Q1)</w:t>
      </w:r>
    </w:p>
    <w:p w:rsidR="004B1FD2" w:rsidRDefault="004B4EC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1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Shirokov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Alexander,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Blokhina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Inna,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Fedosov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Ivan,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Ilukov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Egor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, 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Terskov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Andrey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Dubrovsky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Alexander,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Tsoy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Maria,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Zlatogosrskaya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Daria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Adushkina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Viktoria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Evsukova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Arina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Telnova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Valeria,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Krupnova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Valeria,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Manzhaeva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Maria,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Dmitrenko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Alexander,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Magkov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Dmitry,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Tuktarov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Dmitry, 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Penzel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Thomas,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Kurths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Jürgen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, 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Semyachkina-Glushkovskaya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Oxana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. 5-aminolevulinic acid-mediated photodynamic effects on functions of the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meningeal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lymphatics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.  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Biomedical Optics Express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 2023 (under review)</w:t>
      </w:r>
    </w:p>
    <w:p w:rsidR="004B1FD2" w:rsidRDefault="004B4EC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Impact factor – 3.56 (Q1)</w:t>
      </w:r>
    </w:p>
    <w:p w:rsidR="004B1FD2" w:rsidRDefault="004B4EC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Egor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ukov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Dmitry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Myagkov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Dmitry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Tuktarov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Sergey Popov,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Timofey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Inozemtsev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Inna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Blokhina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Andrey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Terskov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Viktoria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Adushkina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Daria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Zlatogosrkaya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Task specific approach in customized design of EEG system for small laboratory animals. 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highlight w:val="white"/>
        </w:rPr>
        <w:t>The European Physical J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highlight w:val="white"/>
        </w:rPr>
        <w:t>ournal: Special Topics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. 2024 (in publish)</w:t>
      </w:r>
    </w:p>
    <w:p w:rsidR="004B1FD2" w:rsidRDefault="004B4EC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Impact factor – 2.891 (Q2)</w:t>
      </w:r>
    </w:p>
    <w:p w:rsidR="004B1FD2" w:rsidRDefault="004B1FD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4B1FD2" w:rsidRDefault="004B1FD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18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4B1FD2" w:rsidRDefault="004B1FD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="720" w:right="18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4B1FD2" w:rsidSect="004B1FD2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A4FA6"/>
    <w:multiLevelType w:val="multilevel"/>
    <w:tmpl w:val="4F58728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947B5"/>
    <w:multiLevelType w:val="multilevel"/>
    <w:tmpl w:val="41548E5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proofState w:spelling="clean" w:grammar="clean"/>
  <w:defaultTabStop w:val="720"/>
  <w:characterSpacingControl w:val="doNotCompress"/>
  <w:compat/>
  <w:rsids>
    <w:rsidRoot w:val="004B1FD2"/>
    <w:rsid w:val="004B1FD2"/>
    <w:rsid w:val="004B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B1FD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4B1FD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4B1FD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4B1FD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4B1FD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4B1FD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B1FD2"/>
  </w:style>
  <w:style w:type="table" w:customStyle="1" w:styleId="TableNormal">
    <w:name w:val="Table Normal"/>
    <w:rsid w:val="004B1F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B1FD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4B1FD2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 Петр Владимирович</dc:creator>
  <cp:lastModifiedBy>akademik</cp:lastModifiedBy>
  <cp:revision>2</cp:revision>
  <dcterms:created xsi:type="dcterms:W3CDTF">2023-12-15T10:47:00Z</dcterms:created>
  <dcterms:modified xsi:type="dcterms:W3CDTF">2023-12-15T10:47:00Z</dcterms:modified>
</cp:coreProperties>
</file>