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DA" w:rsidRDefault="003B3BBF" w:rsidP="003B3BBF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CURRICULUM VITAE</w:t>
      </w:r>
    </w:p>
    <w:p w:rsidR="003B3BBF" w:rsidRPr="00BB7A8D" w:rsidRDefault="0055794F" w:rsidP="003B3BBF">
      <w:pPr>
        <w:pStyle w:val="1"/>
        <w:spacing w:after="225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D4152B" wp14:editId="103CC43A">
            <wp:simplePos x="0" y="0"/>
            <wp:positionH relativeFrom="column">
              <wp:posOffset>4159885</wp:posOffset>
            </wp:positionH>
            <wp:positionV relativeFrom="paragraph">
              <wp:posOffset>29210</wp:posOffset>
            </wp:positionV>
            <wp:extent cx="1630680" cy="2299335"/>
            <wp:effectExtent l="0" t="0" r="762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BBF"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Personal details   </w:t>
      </w:r>
    </w:p>
    <w:p w:rsidR="003B3BBF" w:rsidRPr="00BB7A8D" w:rsidRDefault="003B3BBF" w:rsidP="003B3BBF">
      <w:pPr>
        <w:ind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Full name: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Tuzhilkin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Matvey</w:t>
      </w:r>
      <w:proofErr w:type="spellEnd"/>
      <w:r w:rsidR="0055794F" w:rsidRPr="0055794F">
        <w:rPr>
          <w:noProof/>
          <w:lang w:eastAsia="ru-RU"/>
        </w:rPr>
        <w:t xml:space="preserve"> </w:t>
      </w:r>
    </w:p>
    <w:p w:rsidR="003B3BBF" w:rsidRPr="00BB7A8D" w:rsidRDefault="003B3BBF" w:rsidP="001D62F2">
      <w:pPr>
        <w:ind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Date of birth: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29 April 2003</w:t>
      </w:r>
      <w:bookmarkStart w:id="0" w:name="_GoBack"/>
      <w:bookmarkEnd w:id="0"/>
    </w:p>
    <w:p w:rsidR="003B3BBF" w:rsidRPr="00BB7A8D" w:rsidRDefault="003B3BBF" w:rsidP="003B3BBF">
      <w:pPr>
        <w:pStyle w:val="1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Affiliation   </w:t>
      </w:r>
    </w:p>
    <w:p w:rsidR="003B3BBF" w:rsidRPr="00BB7A8D" w:rsidRDefault="003B3BBF" w:rsidP="003B3BBF">
      <w:pPr>
        <w:ind w:left="2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Biology Department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Chair of Human and Animal Physiology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</w:p>
    <w:p w:rsidR="003B3BBF" w:rsidRPr="00BB7A8D" w:rsidRDefault="003B3BBF" w:rsidP="003B3BBF">
      <w:pPr>
        <w:ind w:left="2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Saratov State University, 410012, </w:t>
      </w:r>
    </w:p>
    <w:p w:rsidR="003B3BBF" w:rsidRPr="00BB7A8D" w:rsidRDefault="003B3BBF" w:rsidP="003B3BBF">
      <w:pPr>
        <w:ind w:left="2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proofErr w:type="spellStart"/>
      <w:proofErr w:type="gramStart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Astrakhanskaya</w:t>
      </w:r>
      <w:proofErr w:type="spell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str., 83, Saratov, Russia.</w:t>
      </w:r>
      <w:proofErr w:type="gram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 </w:t>
      </w:r>
    </w:p>
    <w:p w:rsidR="003B3BBF" w:rsidRPr="00BB7A8D" w:rsidRDefault="003B3BBF" w:rsidP="003B3BBF">
      <w:pPr>
        <w:spacing w:line="259" w:lineRule="auto"/>
        <w:ind w:left="29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E-mail: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TuzhilkinMA@yandex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.ru</w:t>
      </w:r>
    </w:p>
    <w:p w:rsidR="003B3BBF" w:rsidRPr="00BB7A8D" w:rsidRDefault="003B3BBF" w:rsidP="003B3BBF">
      <w:pPr>
        <w:pStyle w:val="1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Education   </w:t>
      </w:r>
    </w:p>
    <w:p w:rsidR="003B3BBF" w:rsidRPr="00BB7A8D" w:rsidRDefault="003B3BBF" w:rsidP="003B3BBF">
      <w:pPr>
        <w:ind w:left="24"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20</w:t>
      </w:r>
      <w:r w:rsidRPr="0081788C">
        <w:rPr>
          <w:rFonts w:ascii="Times New Roman" w:hAnsi="Times New Roman" w:cs="Times New Roman"/>
          <w:color w:val="002060"/>
          <w:sz w:val="24"/>
          <w:szCs w:val="24"/>
          <w:lang w:val="en-US"/>
        </w:rPr>
        <w:t>20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-2024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     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Bachelor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gramStart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student</w:t>
      </w:r>
      <w:proofErr w:type="gram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Chair of Human and Animal Physiology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,</w:t>
      </w:r>
    </w:p>
    <w:p w:rsidR="003B3BBF" w:rsidRPr="00BB7A8D" w:rsidRDefault="003B3BBF" w:rsidP="003B3BBF">
      <w:pPr>
        <w:ind w:left="1421"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Biology Department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Saratov State University   </w:t>
      </w:r>
    </w:p>
    <w:p w:rsidR="003B3BBF" w:rsidRPr="003B3BBF" w:rsidRDefault="003B3BBF" w:rsidP="003B3BBF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3B3BB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Specialization   </w:t>
      </w:r>
    </w:p>
    <w:p w:rsidR="003B3BBF" w:rsidRDefault="003B3BBF" w:rsidP="003B3BBF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06.03.01</w:t>
      </w:r>
      <w:r w:rsidRPr="003B3BBF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– </w:t>
      </w:r>
      <w:r w:rsidR="00D51B70">
        <w:rPr>
          <w:rFonts w:ascii="Times New Roman" w:hAnsi="Times New Roman" w:cs="Times New Roman"/>
          <w:color w:val="002060"/>
          <w:sz w:val="24"/>
          <w:szCs w:val="24"/>
          <w:lang w:val="en-US"/>
        </w:rPr>
        <w:t>Biology</w:t>
      </w:r>
    </w:p>
    <w:p w:rsidR="00D51B70" w:rsidRDefault="00D51B70" w:rsidP="00D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ru-RU"/>
        </w:rPr>
      </w:pPr>
      <w:r w:rsidRPr="00D51B70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ru-RU"/>
        </w:rPr>
        <w:t>Research interests</w:t>
      </w:r>
    </w:p>
    <w:p w:rsidR="00D51B70" w:rsidRPr="00D51B70" w:rsidRDefault="00D51B70" w:rsidP="00D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ru-RU"/>
        </w:rPr>
      </w:pPr>
    </w:p>
    <w:p w:rsidR="00D51B70" w:rsidRDefault="00D51B70" w:rsidP="00D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</w:pPr>
      <w:proofErr w:type="gramStart"/>
      <w:r w:rsidRPr="00D51B7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 xml:space="preserve">The cerebral lymphatic system; </w:t>
      </w:r>
      <w:proofErr w:type="spellStart"/>
      <w:r w:rsidRPr="00D51B7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neuroimmunology</w:t>
      </w:r>
      <w:proofErr w:type="spellEnd"/>
      <w:r w:rsidRPr="00D51B7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 xml:space="preserve">, brain drug delivery, </w:t>
      </w:r>
      <w:proofErr w:type="spellStart"/>
      <w:r w:rsidRPr="00D51B7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neurophotonics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, anesthesiology, electroencephalography.</w:t>
      </w:r>
      <w:proofErr w:type="gramEnd"/>
    </w:p>
    <w:p w:rsidR="00D51B70" w:rsidRDefault="00D51B70" w:rsidP="00D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</w:pPr>
    </w:p>
    <w:p w:rsidR="00D51B70" w:rsidRDefault="00D51B70" w:rsidP="00D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ru-RU"/>
        </w:rPr>
        <w:t>Employment</w:t>
      </w:r>
    </w:p>
    <w:p w:rsidR="00D51B70" w:rsidRDefault="00D51B70" w:rsidP="00D51B70">
      <w:pPr>
        <w:spacing w:before="180" w:after="180" w:line="240" w:lineRule="auto"/>
        <w:ind w:right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51B70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2023 – </w:t>
      </w:r>
      <w:proofErr w:type="gramStart"/>
      <w:r w:rsidRPr="00D51B70">
        <w:rPr>
          <w:rFonts w:ascii="Times New Roman" w:hAnsi="Times New Roman" w:cs="Times New Roman"/>
          <w:color w:val="002060"/>
          <w:sz w:val="24"/>
          <w:szCs w:val="24"/>
          <w:lang w:val="en-US"/>
        </w:rPr>
        <w:t>now</w:t>
      </w:r>
      <w:proofErr w:type="gramEnd"/>
      <w:r w:rsidRPr="00D51B70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51B70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  <w:t xml:space="preserve">Laboratory assistant in the Laboratory of Smart Sleep of Scientific Medical Center at the Saratov State University. Job description: </w:t>
      </w:r>
      <w:r w:rsidR="00BA6E29"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>surgery, conducting chronic and acute experiments on animals.</w:t>
      </w:r>
    </w:p>
    <w:p w:rsidR="00BA6E29" w:rsidRPr="00BA6E29" w:rsidRDefault="00BA6E29" w:rsidP="00BA6E29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A6E2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Grants</w:t>
      </w:r>
    </w:p>
    <w:p w:rsidR="00BA6E29" w:rsidRPr="00BA6E29" w:rsidRDefault="00BA6E29" w:rsidP="00BA6E29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>Grant from Russian Science Foundation № 23-75-30001</w:t>
      </w:r>
    </w:p>
    <w:p w:rsidR="00BA6E29" w:rsidRDefault="00BA6E29" w:rsidP="00BA6E29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“Pilot technology for </w:t>
      </w:r>
      <w:proofErr w:type="spellStart"/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>photomodulation</w:t>
      </w:r>
      <w:proofErr w:type="spellEnd"/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of the immune system of the animal and human brain: innovative strategies in the treatment of Alzheimer's disease”</w:t>
      </w:r>
      <w:r w:rsidRPr="00F5036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(leading investigator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)</w:t>
      </w:r>
    </w:p>
    <w:p w:rsidR="00BA6E29" w:rsidRPr="00BA6E29" w:rsidRDefault="00BA6E29" w:rsidP="00BA6E29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Role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in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this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project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:</w:t>
      </w:r>
      <w:r w:rsidRPr="00BA6E29">
        <w:rPr>
          <w:lang w:val="en-US"/>
        </w:rPr>
        <w:t xml:space="preserve"> 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EEG system development</w:t>
      </w:r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development </w:t>
      </w:r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technology for </w:t>
      </w:r>
      <w:proofErr w:type="spellStart"/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>photo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bio</w:t>
      </w:r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>modulation</w:t>
      </w:r>
      <w:proofErr w:type="spellEnd"/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of the immune system of the animal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brain, </w:t>
      </w:r>
      <w:r w:rsidRPr="00BA6E29">
        <w:rPr>
          <w:rFonts w:ascii="Times New Roman" w:hAnsi="Times New Roman" w:cs="Times New Roman"/>
          <w:color w:val="002060"/>
          <w:sz w:val="24"/>
          <w:szCs w:val="24"/>
          <w:lang w:val="en-US"/>
        </w:rPr>
        <w:t>conducting experiments.</w:t>
      </w:r>
    </w:p>
    <w:p w:rsidR="005504C5" w:rsidRPr="005504C5" w:rsidRDefault="005504C5" w:rsidP="005504C5">
      <w:pPr>
        <w:spacing w:before="180" w:after="180" w:line="240" w:lineRule="auto"/>
        <w:ind w:right="180"/>
        <w:rPr>
          <w:rFonts w:ascii="Times New Roman" w:eastAsia="Arial" w:hAnsi="Times New Roman" w:cs="Times New Roman"/>
          <w:b/>
          <w:color w:val="002060"/>
          <w:sz w:val="24"/>
          <w:szCs w:val="24"/>
          <w:lang w:val="en" w:eastAsia="ru-RU"/>
        </w:rPr>
      </w:pPr>
      <w:r w:rsidRPr="005504C5">
        <w:rPr>
          <w:rFonts w:ascii="Times New Roman" w:eastAsia="Arial" w:hAnsi="Times New Roman" w:cs="Times New Roman"/>
          <w:b/>
          <w:color w:val="002060"/>
          <w:sz w:val="24"/>
          <w:szCs w:val="24"/>
          <w:lang w:val="en" w:eastAsia="ru-RU"/>
        </w:rPr>
        <w:t>Main publications</w:t>
      </w:r>
    </w:p>
    <w:p w:rsidR="005504C5" w:rsidRPr="005504C5" w:rsidRDefault="005504C5" w:rsidP="005504C5">
      <w:pPr>
        <w:numPr>
          <w:ilvl w:val="0"/>
          <w:numId w:val="1"/>
        </w:numPr>
        <w:spacing w:after="0" w:line="240" w:lineRule="auto"/>
        <w:ind w:right="181"/>
        <w:contextualSpacing/>
        <w:jc w:val="both"/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</w:pP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Oxana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Semyachkina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>-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Glushkovskaya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Konstantin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Sergeev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Nadezhda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Semenova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Andrey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Slepnev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Anatoly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Karavaev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Alexey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Hramkov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Mikhail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Prokhorov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Ekaterina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Borovkova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Inna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Blokhina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Ivan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Fedosov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Alexander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Shirokov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Alexander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Dubrovsky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Andrey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Terskov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Maria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Manzhaeva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Valeria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Krupnova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Alexander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Dmitrenko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Daria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lastRenderedPageBreak/>
        <w:t>Zlatogorskaya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Viktoria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Adushkina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Arina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Evsukova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Matvey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Tuzhilkin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Inna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Elizarova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Egor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Ilyukov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Dmitry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Myagkov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Dmitry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Tuktarov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,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J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>ü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rgen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Kurths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" w:eastAsia="ru-RU"/>
        </w:rPr>
        <w:t xml:space="preserve">. 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 xml:space="preserve">Machine learning technology for EEG-forecast of the blood-brain barrier leakage and the activation of brain’s drainage system during </w:t>
      </w:r>
      <w:proofErr w:type="spellStart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isoflurane</w:t>
      </w:r>
      <w:proofErr w:type="spellEnd"/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 xml:space="preserve"> anesthesia. </w:t>
      </w:r>
      <w:r w:rsidRPr="005504C5">
        <w:rPr>
          <w:rFonts w:ascii="Times New Roman" w:eastAsia="Arial" w:hAnsi="Times New Roman" w:cs="Times New Roman"/>
          <w:b/>
          <w:i/>
          <w:color w:val="002060"/>
          <w:sz w:val="24"/>
          <w:szCs w:val="24"/>
          <w:lang w:val="en-US" w:eastAsia="ru-RU"/>
        </w:rPr>
        <w:t>Biomolecules</w:t>
      </w:r>
      <w:r w:rsidRPr="005504C5">
        <w:rPr>
          <w:rFonts w:ascii="Times New Roman" w:eastAsia="Arial" w:hAnsi="Times New Roman" w:cs="Times New Roman"/>
          <w:color w:val="002060"/>
          <w:sz w:val="24"/>
          <w:szCs w:val="24"/>
          <w:lang w:val="en-US" w:eastAsia="ru-RU"/>
        </w:rPr>
        <w:t>. 2023. 13, 1605. https://doi.org/10.3390/biom13111605</w:t>
      </w:r>
    </w:p>
    <w:p w:rsidR="005504C5" w:rsidRDefault="005504C5" w:rsidP="005504C5">
      <w:pPr>
        <w:spacing w:after="0" w:line="240" w:lineRule="auto"/>
        <w:ind w:left="709" w:right="181"/>
        <w:rPr>
          <w:rFonts w:ascii="Times New Roman" w:eastAsia="Arial" w:hAnsi="Times New Roman" w:cs="Times New Roman"/>
          <w:b/>
          <w:color w:val="002060"/>
          <w:sz w:val="24"/>
          <w:szCs w:val="24"/>
          <w:lang w:eastAsia="ru-RU"/>
        </w:rPr>
      </w:pPr>
      <w:r w:rsidRPr="005504C5">
        <w:rPr>
          <w:rFonts w:ascii="Times New Roman" w:eastAsia="Arial" w:hAnsi="Times New Roman" w:cs="Times New Roman"/>
          <w:b/>
          <w:color w:val="002060"/>
          <w:sz w:val="24"/>
          <w:szCs w:val="24"/>
          <w:lang w:val="en-US" w:eastAsia="ru-RU"/>
        </w:rPr>
        <w:t>Impact factor – 5.5 (Q1)</w:t>
      </w:r>
    </w:p>
    <w:p w:rsidR="005504C5" w:rsidRDefault="005504C5" w:rsidP="005504C5">
      <w:pPr>
        <w:spacing w:after="0" w:line="240" w:lineRule="auto"/>
        <w:ind w:left="709" w:right="181"/>
        <w:rPr>
          <w:rFonts w:ascii="Times New Roman" w:eastAsia="Arial" w:hAnsi="Times New Roman" w:cs="Times New Roman"/>
          <w:b/>
          <w:color w:val="002060"/>
          <w:sz w:val="24"/>
          <w:szCs w:val="24"/>
          <w:lang w:eastAsia="ru-RU"/>
        </w:rPr>
      </w:pPr>
    </w:p>
    <w:p w:rsidR="005504C5" w:rsidRPr="00FC1099" w:rsidRDefault="005504C5" w:rsidP="005504C5">
      <w:pPr>
        <w:pStyle w:val="a3"/>
        <w:numPr>
          <w:ilvl w:val="0"/>
          <w:numId w:val="1"/>
        </w:numPr>
        <w:spacing w:line="240" w:lineRule="auto"/>
        <w:ind w:right="181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Oxana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Semyachkina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>-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Glushkovskaya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Konstantin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Sergeev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Nadezhda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Semenova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Andrey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Slepnev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Anatoly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Karavaev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Alexey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Hramkov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Mikhail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Prokhorov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Ekaterina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Borovkova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Inna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Blokhina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Ivan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Fedosov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Alexander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Shirokov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Alexander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Dubrovsky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Andrey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Terskov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Maria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Manzhaeva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Valeria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Krupnova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Alexander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Dmitrenko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Daria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Zlatogorskaya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Viktoria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Adushkina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A</w:t>
      </w:r>
      <w:r>
        <w:rPr>
          <w:rFonts w:ascii="Times New Roman" w:hAnsi="Times New Roman" w:cs="Times New Roman"/>
          <w:color w:val="002060"/>
          <w:sz w:val="24"/>
          <w:szCs w:val="24"/>
        </w:rPr>
        <w:t>rina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Evsukova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Matvey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Tuzhilkin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Inna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Elizarova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 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Egor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Ilyukov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 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Dmitry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Myagkov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 ,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Dmitry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Tuktarov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J</w:t>
      </w:r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>ü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rgen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Kurths</w:t>
      </w:r>
      <w:proofErr w:type="spellEnd"/>
      <w:r w:rsidRPr="005504C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. </w:t>
      </w:r>
      <w:r w:rsidRPr="00BB7A8D">
        <w:rPr>
          <w:rFonts w:ascii="Times New Roman" w:hAnsi="Times New Roman" w:cs="Times New Roman"/>
          <w:color w:val="002060"/>
          <w:sz w:val="24"/>
          <w:szCs w:val="24"/>
        </w:rPr>
        <w:t xml:space="preserve">Technology of </w:t>
      </w:r>
      <w:proofErr w:type="spellStart"/>
      <w:r w:rsidRPr="00BB7A8D">
        <w:rPr>
          <w:rFonts w:ascii="Times New Roman" w:hAnsi="Times New Roman" w:cs="Times New Roman"/>
          <w:color w:val="002060"/>
          <w:sz w:val="24"/>
          <w:szCs w:val="24"/>
        </w:rPr>
        <w:t>photobiostimulation</w:t>
      </w:r>
      <w:proofErr w:type="spellEnd"/>
      <w:r w:rsidRPr="00BB7A8D">
        <w:rPr>
          <w:rFonts w:ascii="Times New Roman" w:hAnsi="Times New Roman" w:cs="Times New Roman"/>
          <w:color w:val="002060"/>
          <w:sz w:val="24"/>
          <w:szCs w:val="24"/>
        </w:rPr>
        <w:t xml:space="preserve"> of brain’s drainage system during sleep for improvement of learning and memory in male mice.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b/>
          <w:i/>
          <w:color w:val="002060"/>
          <w:sz w:val="24"/>
          <w:szCs w:val="24"/>
        </w:rPr>
        <w:t>Biomedical Optics Express</w:t>
      </w:r>
      <w:r>
        <w:rPr>
          <w:rFonts w:ascii="Times New Roman" w:hAnsi="Times New Roman" w:cs="Times New Roman"/>
          <w:color w:val="002060"/>
          <w:sz w:val="24"/>
          <w:szCs w:val="24"/>
        </w:rPr>
        <w:t>. 2023 (accepted)</w:t>
      </w:r>
    </w:p>
    <w:p w:rsidR="005504C5" w:rsidRDefault="005504C5" w:rsidP="005504C5">
      <w:pPr>
        <w:pStyle w:val="a3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Impact factor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– 3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.5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6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(Q1)</w:t>
      </w:r>
    </w:p>
    <w:p w:rsidR="005504C5" w:rsidRDefault="005504C5" w:rsidP="005504C5">
      <w:pPr>
        <w:pStyle w:val="a3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:rsidR="0055794F" w:rsidRPr="0055794F" w:rsidRDefault="0055794F" w:rsidP="0055794F">
      <w:pPr>
        <w:pStyle w:val="a3"/>
        <w:numPr>
          <w:ilvl w:val="0"/>
          <w:numId w:val="1"/>
        </w:numPr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Blokhina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IA,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Koronovskii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AA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Jr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Dmitrenko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AV,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Elizarova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IV,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Moiseikina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TV,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Tuzhilkin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MA,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Semyachkina-Glushkovskaya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OV, Pavlov AN. Characterization of Anesthesia in Rats from EEG in Terms of Long-Range Correlations. </w:t>
      </w:r>
      <w:r w:rsidRPr="0055794F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Diagnostics (Basel)</w:t>
      </w:r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 2023 Jan 24</w:t>
      </w:r>
      <w:proofErr w:type="gram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;13</w:t>
      </w:r>
      <w:proofErr w:type="gram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(3):426. </w:t>
      </w:r>
      <w:proofErr w:type="spellStart"/>
      <w:proofErr w:type="gram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: 10.3390/diagnostics13030426.</w:t>
      </w:r>
      <w:r w:rsidRPr="0055794F">
        <w:rPr>
          <w:rFonts w:ascii="Segoe UI" w:hAnsi="Segoe UI" w:cs="Segoe UI"/>
          <w:color w:val="002060"/>
          <w:shd w:val="clear" w:color="auto" w:fill="FFFFFF"/>
        </w:rPr>
        <w:t xml:space="preserve"> </w:t>
      </w:r>
    </w:p>
    <w:p w:rsidR="0055794F" w:rsidRDefault="0055794F" w:rsidP="0055794F">
      <w:pPr>
        <w:pStyle w:val="a3"/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55794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Impact factor – </w:t>
      </w:r>
      <w: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3.992(Q2</w:t>
      </w:r>
      <w:r w:rsidRPr="0055794F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)</w:t>
      </w:r>
    </w:p>
    <w:p w:rsidR="0055794F" w:rsidRPr="0055794F" w:rsidRDefault="0055794F" w:rsidP="0055794F">
      <w:pPr>
        <w:pStyle w:val="a3"/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55794F" w:rsidRPr="0055794F" w:rsidRDefault="0055794F" w:rsidP="0055794F">
      <w:pPr>
        <w:pStyle w:val="a3"/>
        <w:numPr>
          <w:ilvl w:val="0"/>
          <w:numId w:val="1"/>
        </w:numPr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Koronovskii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AA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Jr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Blokhina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IA,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Dmitrenko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AV,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Tuzhilkin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MA,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Moiseikina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TV,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Elizarova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IV,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Semyachkina-Glushkovskaya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OV, Pavlov AN. Extended </w:t>
      </w:r>
      <w:proofErr w:type="spell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Detrended</w:t>
      </w:r>
      <w:proofErr w:type="spell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Fluctuation Analysis of Coarse-Grained Time Series. </w:t>
      </w:r>
      <w:r w:rsidRPr="0055794F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Diagnostics (Basel)</w:t>
      </w:r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 2022 Dec 28</w:t>
      </w:r>
      <w:proofErr w:type="gram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;13</w:t>
      </w:r>
      <w:proofErr w:type="gram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(1):93. </w:t>
      </w:r>
      <w:proofErr w:type="spellStart"/>
      <w:proofErr w:type="gramStart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55794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: 10.3390/diagnostics13010093. </w:t>
      </w:r>
    </w:p>
    <w:p w:rsidR="0055794F" w:rsidRPr="0055794F" w:rsidRDefault="0055794F" w:rsidP="0055794F">
      <w:pPr>
        <w:pStyle w:val="a3"/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55794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Impact factor – 3.992 (Q2)</w:t>
      </w:r>
    </w:p>
    <w:p w:rsidR="005504C5" w:rsidRPr="0055794F" w:rsidRDefault="005504C5" w:rsidP="0055794F">
      <w:pPr>
        <w:pStyle w:val="a3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:rsidR="005504C5" w:rsidRPr="005504C5" w:rsidRDefault="005504C5" w:rsidP="005504C5">
      <w:pPr>
        <w:spacing w:after="0" w:line="240" w:lineRule="auto"/>
        <w:ind w:left="709" w:right="181"/>
        <w:rPr>
          <w:rFonts w:ascii="Times New Roman" w:eastAsia="Arial" w:hAnsi="Times New Roman" w:cs="Times New Roman"/>
          <w:b/>
          <w:color w:val="002060"/>
          <w:sz w:val="24"/>
          <w:szCs w:val="24"/>
          <w:lang w:val="en-US" w:eastAsia="ru-RU"/>
        </w:rPr>
      </w:pPr>
    </w:p>
    <w:p w:rsidR="00BA6E29" w:rsidRPr="00BA6E29" w:rsidRDefault="00BA6E29" w:rsidP="00BA6E29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BA6E29" w:rsidRPr="00BA6E29" w:rsidRDefault="00BA6E29" w:rsidP="00D51B70">
      <w:pPr>
        <w:spacing w:before="180" w:after="180" w:line="240" w:lineRule="auto"/>
        <w:ind w:right="180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D51B70" w:rsidRPr="00D51B70" w:rsidRDefault="00D51B70" w:rsidP="00D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</w:pPr>
    </w:p>
    <w:p w:rsidR="00D51B70" w:rsidRPr="00D51B70" w:rsidRDefault="00D51B70" w:rsidP="003B3BBF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3B3BBF" w:rsidRPr="003B3BBF" w:rsidRDefault="003B3BBF" w:rsidP="003B3BBF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sectPr w:rsidR="003B3BBF" w:rsidRPr="003B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04FE0"/>
    <w:multiLevelType w:val="hybridMultilevel"/>
    <w:tmpl w:val="C76C370C"/>
    <w:lvl w:ilvl="0" w:tplc="42B0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82"/>
    <w:rsid w:val="000939B8"/>
    <w:rsid w:val="001D62F2"/>
    <w:rsid w:val="003B3BBF"/>
    <w:rsid w:val="005504C5"/>
    <w:rsid w:val="0055794F"/>
    <w:rsid w:val="00BA6E29"/>
    <w:rsid w:val="00D51B70"/>
    <w:rsid w:val="00E05ADA"/>
    <w:rsid w:val="00F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BBF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en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BBF"/>
    <w:rPr>
      <w:rFonts w:ascii="Arial" w:eastAsia="Arial" w:hAnsi="Arial" w:cs="Arial"/>
      <w:sz w:val="40"/>
      <w:szCs w:val="40"/>
      <w:lang w:val="en" w:eastAsia="ru-RU"/>
    </w:rPr>
  </w:style>
  <w:style w:type="paragraph" w:styleId="a3">
    <w:name w:val="List Paragraph"/>
    <w:basedOn w:val="a"/>
    <w:uiPriority w:val="34"/>
    <w:qFormat/>
    <w:rsid w:val="005504C5"/>
    <w:pPr>
      <w:spacing w:after="0"/>
      <w:ind w:left="720"/>
      <w:contextualSpacing/>
    </w:pPr>
    <w:rPr>
      <w:rFonts w:ascii="Arial" w:eastAsia="Arial" w:hAnsi="Arial" w:cs="Arial"/>
      <w:lang w:val="en"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BBF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en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BBF"/>
    <w:rPr>
      <w:rFonts w:ascii="Arial" w:eastAsia="Arial" w:hAnsi="Arial" w:cs="Arial"/>
      <w:sz w:val="40"/>
      <w:szCs w:val="40"/>
      <w:lang w:val="en" w:eastAsia="ru-RU"/>
    </w:rPr>
  </w:style>
  <w:style w:type="paragraph" w:styleId="a3">
    <w:name w:val="List Paragraph"/>
    <w:basedOn w:val="a"/>
    <w:uiPriority w:val="34"/>
    <w:qFormat/>
    <w:rsid w:val="005504C5"/>
    <w:pPr>
      <w:spacing w:after="0"/>
      <w:ind w:left="720"/>
      <w:contextualSpacing/>
    </w:pPr>
    <w:rPr>
      <w:rFonts w:ascii="Arial" w:eastAsia="Arial" w:hAnsi="Arial" w:cs="Arial"/>
      <w:lang w:val="en"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2023-12-10T14:54:00Z</dcterms:created>
  <dcterms:modified xsi:type="dcterms:W3CDTF">2023-12-10T16:02:00Z</dcterms:modified>
</cp:coreProperties>
</file>